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</w:r>
      <w:r>
        <w:rPr>
          <w:sz w:val="26"/>
          <w:szCs w:val="26"/>
          <w:lang w:val="uk-UA"/>
        </w:rPr>
      </w:r>
      <w:r>
        <w:rPr>
          <w:sz w:val="26"/>
          <w:szCs w:val="26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1912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48.7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 Р І 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</w:rPr>
        <w:t xml:space="preserve">2</w:t>
      </w:r>
      <w:r>
        <w:rPr>
          <w:spacing w:val="-7"/>
          <w:sz w:val="27"/>
          <w:szCs w:val="27"/>
          <w:lang w:val="uk-UA"/>
        </w:rPr>
        <w:t xml:space="preserve">1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січня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</w:t>
      </w:r>
      <w:r>
        <w:rPr>
          <w:color w:val="000000"/>
          <w:spacing w:val="-9"/>
          <w:sz w:val="27"/>
          <w:szCs w:val="27"/>
          <w:lang w:val="uk-UA"/>
        </w:rPr>
        <w:t xml:space="preserve">     </w:t>
      </w:r>
      <w:r>
        <w:rPr>
          <w:color w:val="000000"/>
          <w:spacing w:val="-9"/>
          <w:sz w:val="27"/>
          <w:szCs w:val="27"/>
        </w:rPr>
        <w:t xml:space="preserve">           № </w:t>
      </w:r>
      <w:r>
        <w:rPr>
          <w:color w:val="000000"/>
          <w:spacing w:val="-9"/>
          <w:sz w:val="27"/>
          <w:szCs w:val="27"/>
          <w:lang w:val="uk-UA"/>
        </w:rPr>
        <w:t xml:space="preserve">60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auto" w:fill="auto"/>
            <w:tcBorders/>
            <w:tcW w:w="59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Відповідно до статті 40 Закону України «Про місцеве самоврядування в Україні», постанови Кабінету Міністрів України від </w:t>
      </w:r>
      <w:r>
        <w:rPr>
          <w:sz w:val="27"/>
          <w:szCs w:val="27"/>
        </w:rPr>
        <w:t xml:space="preserve">26.03.2022  № 380 «Про збір, обробку та облік інформації про пошкоджене та знищене нерухоме майно внаслідок бойових дій, терористичних актів, диверсій, спричинених агресією російської федерації», Порядку надання компенсації для відновлення окремих кате</w:t>
      </w:r>
      <w:r>
        <w:rPr>
          <w:sz w:val="27"/>
          <w:szCs w:val="27"/>
        </w:rPr>
        <w:t xml:space="preserve">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Міністрів</w:t>
      </w:r>
      <w:r>
        <w:rPr>
          <w:sz w:val="27"/>
          <w:szCs w:val="27"/>
        </w:rPr>
        <w:t xml:space="preserve"> України від 21.04.2023 № 381, та постановою Кабінету Міністрів України від 30.05.2023 № 565 (зміни до Постанови № 381), рішення виконавчого комітету міської ради від 24 травня 2023 року №259 «Про створення комісії з розгляду питань</w:t>
      </w:r>
      <w:r>
        <w:rPr>
          <w:sz w:val="27"/>
          <w:szCs w:val="27"/>
        </w:rPr>
        <w:t xml:space="preserve">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України» (зі змінами), з метою надання компенсації для відновлення окремих катег</w:t>
      </w:r>
      <w:r>
        <w:rPr>
          <w:sz w:val="27"/>
          <w:szCs w:val="27"/>
        </w:rPr>
        <w:t xml:space="preserve">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Красноградської міської територіальної громади, виконавчий комітет Берестинської міської ради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uk-UA"/>
        </w:rPr>
        <w:t xml:space="preserve">13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січня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64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sz w:val="28"/>
          <w:szCs w:val="28"/>
          <w:lang w:val="uk-UA"/>
        </w:rPr>
        <w:t xml:space="preserve">ОСОБИ 2</w:t>
      </w:r>
      <w:r>
        <w:rPr>
          <w:iCs/>
          <w:sz w:val="28"/>
          <w:szCs w:val="28"/>
          <w:lang w:val="uk-UA"/>
        </w:rPr>
        <w:t xml:space="preserve">  № ЗВ-11.12.2025-283589 </w:t>
      </w:r>
      <w:bookmarkStart w:id="0" w:name="_GoBack"/>
      <w:r>
        <w:rPr>
          <w:sz w:val="28"/>
          <w:szCs w:val="28"/>
        </w:rPr>
      </w:r>
      <w:bookmarkEnd w:id="0"/>
      <w:r>
        <w:rPr>
          <w:sz w:val="28"/>
          <w:szCs w:val="28"/>
        </w:rPr>
        <w:t xml:space="preserve">(додається).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</w:t>
      </w:r>
      <w:r>
        <w:rPr>
          <w:sz w:val="28"/>
          <w:szCs w:val="28"/>
          <w:lang w:val="uk-UA"/>
        </w:rPr>
        <w:t xml:space="preserve">залишаю за собою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940EA0C">
      <w:pPr>
        <w:pStyle w:val="910"/>
        <w:pBdr/>
        <w:spacing w:after="0" w:afterAutospacing="0" w:before="0" w:beforeAutospacing="0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міського голови з питань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2DE6A9CD">
      <w:pPr>
        <w:pStyle w:val="910"/>
        <w:pBdr/>
        <w:spacing w:after="0" w:afterAutospacing="0" w:before="0" w:beforeAutospacing="0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діяльності виконавчих органів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Наталія ЗІНЧЕНКО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20CFB348">
      <w:pPr>
        <w:pStyle w:val="718"/>
        <w:pBdr/>
        <w:tabs>
          <w:tab w:val="center" w:leader="none" w:pos="4677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b/>
          <w:spacing w:val="-5"/>
          <w:sz w:val="28"/>
          <w:szCs w:val="28"/>
          <w:lang w:val="uk-UA"/>
        </w:rPr>
      </w:pPr>
      <w:r>
        <w:rPr>
          <w:sz w:val="27"/>
          <w:szCs w:val="27"/>
          <w:lang w:val="uk-UA"/>
        </w:rPr>
      </w: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</w:rPr>
        <w:t xml:space="preserve">від  </w:t>
      </w:r>
      <w:r>
        <w:rPr>
          <w:spacing w:val="-7"/>
          <w:sz w:val="24"/>
          <w:szCs w:val="24"/>
          <w:lang w:val="uk-UA"/>
        </w:rPr>
        <w:t xml:space="preserve">2</w:t>
      </w:r>
      <w:r>
        <w:rPr>
          <w:spacing w:val="-7"/>
          <w:sz w:val="24"/>
          <w:szCs w:val="24"/>
          <w:lang w:val="uk-UA"/>
        </w:rPr>
        <w:t xml:space="preserve">1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січня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 </w:t>
      </w:r>
      <w:r>
        <w:rPr>
          <w:spacing w:val="-5"/>
          <w:sz w:val="24"/>
          <w:szCs w:val="24"/>
          <w:lang w:val="uk-UA"/>
        </w:rPr>
        <w:t xml:space="preserve">60</w:t>
      </w:r>
      <w:r>
        <w:rPr>
          <w:spacing w:val="-5"/>
          <w:sz w:val="24"/>
          <w:szCs w:val="24"/>
        </w:rPr>
      </w:r>
      <w:r>
        <w:rPr>
          <w:spacing w:val="-5"/>
          <w:sz w:val="24"/>
          <w:szCs w:val="24"/>
        </w:rPr>
      </w:r>
    </w:p>
    <w:p>
      <w:pPr>
        <w:pBdr/>
        <w:spacing/>
        <w:ind/>
        <w:jc w:val="center"/>
        <w:rPr>
          <w:b/>
          <w:spacing w:val="-5"/>
          <w:sz w:val="26"/>
          <w:szCs w:val="26"/>
          <w:lang w:val="uk-UA"/>
        </w:rPr>
      </w:pPr>
      <w:r>
        <w:rPr>
          <w:b/>
          <w:spacing w:val="-5"/>
          <w:sz w:val="26"/>
          <w:szCs w:val="26"/>
          <w:lang w:val="uk-UA"/>
        </w:rPr>
      </w:r>
      <w:r>
        <w:rPr>
          <w:b/>
          <w:spacing w:val="-5"/>
          <w:sz w:val="26"/>
          <w:szCs w:val="26"/>
          <w:lang w:val="uk-UA"/>
        </w:rPr>
      </w:r>
      <w:r>
        <w:rPr>
          <w:b/>
          <w:spacing w:val="-5"/>
          <w:sz w:val="26"/>
          <w:szCs w:val="26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13 січня 2026 року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              м. Берестин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            </w:t>
      </w:r>
      <w:r>
        <w:rPr>
          <w:spacing w:val="-9"/>
          <w:sz w:val="24"/>
          <w:szCs w:val="24"/>
          <w:lang w:val="uk-UA"/>
        </w:rPr>
        <w:t xml:space="preserve">                </w:t>
      </w:r>
      <w:r>
        <w:rPr>
          <w:spacing w:val="-9"/>
          <w:sz w:val="24"/>
          <w:szCs w:val="24"/>
          <w:lang w:val="uk-UA"/>
        </w:rPr>
        <w:t xml:space="preserve">№ 01-19/64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ОСОБІ 2</w:t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(заява № ЗВ-</w:t>
      </w:r>
      <w:r>
        <w:rPr>
          <w:iCs/>
          <w:sz w:val="24"/>
          <w:szCs w:val="24"/>
          <w:lang w:val="uk-UA"/>
        </w:rPr>
        <w:t xml:space="preserve">11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283589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</w:t>
      </w:r>
      <w:r>
        <w:rPr>
          <w:color w:val="000000"/>
          <w:sz w:val="24"/>
          <w:szCs w:val="24"/>
          <w:lang w:val="uk-UA"/>
        </w:rPr>
        <w:t xml:space="preserve">рішення виконавчого комітету Красноградської міської ради № 259                 від 24 травня 2023 року</w:t>
      </w:r>
      <w:r>
        <w:rPr>
          <w:sz w:val="24"/>
          <w:szCs w:val="24"/>
          <w:lang w:val="uk-UA"/>
        </w:rPr>
        <w:t xml:space="preserve"> (зі змінами) було створено </w:t>
      </w:r>
      <w:r>
        <w:rPr>
          <w:color w:val="000000"/>
          <w:sz w:val="24"/>
          <w:szCs w:val="24"/>
          <w:lang w:val="uk-UA"/>
        </w:rPr>
        <w:t xml:space="preserve">Комісію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color w:val="000000"/>
          <w:sz w:val="24"/>
          <w:szCs w:val="24"/>
          <w:lang w:val="uk-UA"/>
        </w:rPr>
        <w:t xml:space="preserve">Російської Ф</w:t>
      </w:r>
      <w:r>
        <w:rPr>
          <w:color w:val="000000"/>
          <w:sz w:val="24"/>
          <w:szCs w:val="24"/>
          <w:lang w:val="uk-UA"/>
        </w:rPr>
        <w:t xml:space="preserve">едерації з використанням електронної публічної послуги «єВідновлення»</w:t>
      </w:r>
      <w:r>
        <w:rPr>
          <w:sz w:val="24"/>
          <w:szCs w:val="24"/>
          <w:lang w:val="uk-UA"/>
        </w:rPr>
        <w:t xml:space="preserve">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11</w:t>
      </w:r>
      <w:r>
        <w:rPr>
          <w:color w:val="000000"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  <w:t xml:space="preserve">12</w:t>
      </w:r>
      <w:r>
        <w:rPr>
          <w:color w:val="000000"/>
          <w:sz w:val="24"/>
          <w:szCs w:val="24"/>
          <w:lang w:val="uk-UA"/>
        </w:rPr>
        <w:t xml:space="preserve">.2025 року</w:t>
      </w:r>
      <w:r>
        <w:rPr>
          <w:sz w:val="24"/>
          <w:szCs w:val="24"/>
          <w:lang w:val="uk-UA"/>
        </w:rPr>
        <w:t xml:space="preserve">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громадянина ОСОБИ 2</w:t>
      </w:r>
      <w:r>
        <w:rPr>
          <w:iCs/>
          <w:sz w:val="24"/>
          <w:szCs w:val="24"/>
          <w:lang w:val="uk-UA"/>
        </w:rPr>
        <w:t xml:space="preserve">                          </w:t>
      </w:r>
      <w:r>
        <w:rPr>
          <w:iCs/>
          <w:sz w:val="24"/>
          <w:szCs w:val="24"/>
          <w:lang w:val="uk-UA"/>
        </w:rPr>
        <w:t xml:space="preserve">№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ЗВ-</w:t>
      </w:r>
      <w:r>
        <w:rPr>
          <w:iCs/>
          <w:sz w:val="24"/>
          <w:szCs w:val="24"/>
          <w:lang w:val="uk-UA"/>
        </w:rPr>
        <w:t xml:space="preserve">11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283589.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громадянина ОСОБИ 2 </w:t>
      </w:r>
      <w:r>
        <w:rPr>
          <w:iCs/>
          <w:sz w:val="24"/>
          <w:szCs w:val="24"/>
          <w:lang w:val="uk-UA"/>
        </w:rPr>
        <w:t xml:space="preserve">№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ЗВ-</w:t>
      </w:r>
      <w:r>
        <w:rPr>
          <w:iCs/>
          <w:sz w:val="24"/>
          <w:szCs w:val="24"/>
          <w:lang w:val="uk-UA"/>
        </w:rPr>
        <w:t xml:space="preserve">11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283589 </w:t>
      </w:r>
      <w:r>
        <w:rPr>
          <w:color w:val="000000"/>
          <w:sz w:val="24"/>
          <w:szCs w:val="24"/>
          <w:lang w:val="uk-UA"/>
        </w:rPr>
        <w:t xml:space="preserve">від 11</w:t>
      </w:r>
      <w:r>
        <w:rPr>
          <w:iCs/>
          <w:sz w:val="24"/>
          <w:szCs w:val="24"/>
          <w:lang w:val="uk-UA"/>
        </w:rPr>
        <w:t xml:space="preserve">.12.2025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color w:val="000000"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).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</w:t>
      </w:r>
      <w:r>
        <w:rPr>
          <w:rFonts w:eastAsia="Arial" w:cs="Arial"/>
          <w:sz w:val="24"/>
          <w:szCs w:val="24"/>
          <w:lang w:val="uk-UA"/>
        </w:rPr>
        <w:t xml:space="preserve">відновлення експлуатаційної придатності об’єкта станом на дату складення чек-листа, 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184 182,97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сто вісімдесят чотири тисячі сто вісімдесят дві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гривні </w:t>
      </w:r>
      <w:r>
        <w:rPr>
          <w:b/>
          <w:i/>
          <w:iCs/>
          <w:sz w:val="24"/>
          <w:szCs w:val="24"/>
          <w:u w:val="single"/>
          <w:lang w:val="uk-UA"/>
        </w:rPr>
        <w:t xml:space="preserve">97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копійок)</w:t>
      </w:r>
      <w:r>
        <w:rPr>
          <w:b/>
          <w:i/>
          <w:iCs/>
          <w:sz w:val="24"/>
          <w:szCs w:val="24"/>
          <w:u w:val="single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 нерухомого майна </w:t>
      </w:r>
      <w:r>
        <w:rPr>
          <w:color w:val="000000"/>
          <w:sz w:val="24"/>
          <w:szCs w:val="24"/>
          <w:lang w:val="uk-UA"/>
        </w:rPr>
        <w:t xml:space="preserve">громадянина </w:t>
      </w:r>
      <w:r>
        <w:rPr>
          <w:color w:val="000000"/>
          <w:sz w:val="24"/>
          <w:szCs w:val="24"/>
          <w:lang w:val="uk-UA"/>
        </w:rPr>
        <w:t xml:space="preserve">ОСОБИ 2</w:t>
      </w:r>
      <w:r/>
      <w:r>
        <w:rPr>
          <w:color w:val="000000"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  <w:t xml:space="preserve">                           </w:t>
      </w:r>
      <w:r>
        <w:rPr>
          <w:iCs/>
          <w:sz w:val="24"/>
          <w:szCs w:val="24"/>
          <w:lang w:val="uk-UA"/>
        </w:rPr>
        <w:t xml:space="preserve">№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ЗВ-</w:t>
      </w:r>
      <w:r>
        <w:rPr>
          <w:iCs/>
          <w:sz w:val="24"/>
          <w:szCs w:val="24"/>
          <w:lang w:val="uk-UA"/>
        </w:rPr>
        <w:t xml:space="preserve">11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283589 від 11.12.2025</w:t>
      </w:r>
      <w:r>
        <w:rPr>
          <w:color w:val="000000"/>
          <w:sz w:val="24"/>
          <w:szCs w:val="24"/>
          <w:lang w:val="uk-UA"/>
        </w:rPr>
        <w:t xml:space="preserve">,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184 182,97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сто вісімдесят чотири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тисячі сто вісімдесят дві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гривні </w:t>
      </w:r>
      <w:r>
        <w:rPr>
          <w:b/>
          <w:i/>
          <w:iCs/>
          <w:sz w:val="24"/>
          <w:szCs w:val="24"/>
          <w:u w:val="single"/>
          <w:lang w:val="uk-UA"/>
        </w:rPr>
        <w:t xml:space="preserve">97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та належить до ремонту </w:t>
      </w:r>
      <w:r>
        <w:rPr>
          <w:iCs/>
          <w:sz w:val="24"/>
          <w:szCs w:val="24"/>
          <w:lang w:val="uk-UA"/>
        </w:rPr>
        <w:t xml:space="preserve">категорії 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color w:val="00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color w:val="000000"/>
          <w:sz w:val="24"/>
          <w:szCs w:val="24"/>
          <w:lang w:val="uk-UA"/>
        </w:rPr>
      </w:r>
      <w:r>
        <w:rPr>
          <w:rFonts w:eastAsia="Arial" w:cs="Arial"/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Враховуючи вищевикладене</w:t>
      </w:r>
      <w:r>
        <w:rPr>
          <w:color w:val="000000"/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пунктів 10,</w:t>
      </w:r>
      <w:r>
        <w:rPr>
          <w:color w:val="000000"/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 w:line="276" w:lineRule="auto"/>
        <w:ind/>
        <w:jc w:val="center"/>
        <w:rPr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color w:val="000000"/>
          <w:sz w:val="24"/>
          <w:szCs w:val="24"/>
          <w:lang w:val="uk-UA"/>
        </w:rPr>
        <w:t xml:space="preserve">ОСОБІ 2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 компенсацію для відновлення пошкодженого об’єкта нерухомого майна –</w:t>
      </w:r>
      <w:r>
        <w:rPr>
          <w:sz w:val="24"/>
          <w:szCs w:val="24"/>
          <w:lang w:val="uk-UA"/>
        </w:rPr>
        <w:t xml:space="preserve"> квартири </w:t>
      </w:r>
      <w:r>
        <w:rPr>
          <w:sz w:val="24"/>
          <w:szCs w:val="24"/>
          <w:lang w:val="uk-UA"/>
        </w:rPr>
        <w:t xml:space="preserve">за адресою: Україна, Харківська область, Берестинський район, </w:t>
      </w:r>
      <w:r>
        <w:rPr>
          <w:sz w:val="24"/>
          <w:szCs w:val="24"/>
          <w:lang w:val="uk-UA"/>
        </w:rPr>
        <w:t xml:space="preserve">місто Берестин</w:t>
      </w:r>
      <w:r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 xml:space="preserve">вулиця Транспортна, </w:t>
      </w:r>
      <w:r>
        <w:rPr>
          <w:sz w:val="24"/>
          <w:szCs w:val="24"/>
          <w:lang w:val="uk-UA"/>
        </w:rPr>
        <w:t xml:space="preserve">будинок </w:t>
      </w:r>
      <w:r>
        <w:rPr>
          <w:sz w:val="24"/>
          <w:szCs w:val="24"/>
          <w:lang w:val="uk-UA"/>
        </w:rPr>
        <w:t xml:space="preserve">ХХ, квартира ХХ</w:t>
      </w:r>
      <w:r>
        <w:rPr>
          <w:sz w:val="24"/>
          <w:szCs w:val="24"/>
          <w:lang w:val="uk-UA"/>
        </w:rPr>
        <w:t xml:space="preserve"> у</w:t>
      </w:r>
      <w:r>
        <w:rPr>
          <w:sz w:val="24"/>
          <w:szCs w:val="24"/>
          <w:lang w:val="uk-UA"/>
        </w:rPr>
        <w:t xml:space="preserve"> розмірі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184 182,97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вісімдесят чотири тисячі сто вісімдесят дві гривні 97 копійок)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згідно з заявою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ЗВ-11.12.2025-283589 від 11.12.2025.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color w:val="000000"/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</w:t>
      </w:r>
      <w:r>
        <w:rPr>
          <w:color w:val="000000"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0"/>
        <w:gridCol w:w="2890"/>
        <w:gridCol w:w="4224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 xml:space="preserve">(підпис)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КЛОЧКО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Style w:val="731"/>
        <w:tblInd w:w="5778" w:type="dxa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076"/>
      </w:tblGrid>
      <w:tr>
        <w:trPr/>
        <w:tc>
          <w:tcPr>
            <w:tcBorders/>
            <w:tcW w:w="4076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Додаток 1</w:t>
            </w:r>
            <w:r>
              <w:rPr>
                <w:sz w:val="24"/>
                <w:szCs w:val="24"/>
                <w:lang w:val="uk-UA" w:eastAsia="uk-UA"/>
              </w:rPr>
              <w:t xml:space="preserve">                                                                                                                                     до рішення №01-19/64 від 13.01.2025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pacing/>
        <w:ind/>
        <w:jc w:val="righ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>
      <w:pPr>
        <w:pBdr/>
        <w:spacing w:after="150" w:before="150"/>
        <w:ind w:right="450" w:left="450"/>
        <w:jc w:val="center"/>
        <w:rPr>
          <w:sz w:val="24"/>
          <w:szCs w:val="24"/>
          <w:lang w:eastAsia="uk-UA"/>
        </w:rPr>
      </w:pPr>
      <w:r>
        <w:rPr>
          <w:bCs/>
          <w:sz w:val="28"/>
          <w:szCs w:val="28"/>
          <w:lang w:eastAsia="uk-UA"/>
        </w:rPr>
        <w:t xml:space="preserve">ЧЕК-ЛИСТ</w:t>
      </w:r>
      <w:r>
        <w:rPr>
          <w:sz w:val="24"/>
          <w:szCs w:val="24"/>
          <w:lang w:eastAsia="uk-UA"/>
        </w:rPr>
        <w:br/>
      </w:r>
      <w:r>
        <w:rPr>
          <w:bCs/>
          <w:sz w:val="28"/>
          <w:szCs w:val="28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W w:w="5000" w:type="pct"/>
        <w:tblCellMar>
          <w:left w:w="15" w:type="dxa"/>
          <w:top w:w="15" w:type="dxa"/>
          <w:right w:w="15" w:type="dxa"/>
          <w:bottom w:w="15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348"/>
        <w:gridCol w:w="3320"/>
      </w:tblGrid>
      <w:tr>
        <w:trPr/>
        <w:tc>
          <w:tcPr>
            <w:tcBorders/>
            <w:tcW w:w="325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1" w:name="n10"/>
            <w:r/>
            <w:bookmarkEnd w:id="1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70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/>
            <w:tcW w:w="3250" w:type="pct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700" w:type="pct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квартира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/>
            <w:tcW w:w="3250" w:type="pct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700" w:type="pct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/>
            <w:tcW w:w="3250" w:type="pct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700" w:type="pct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/>
            <w:tcW w:w="3250" w:type="pct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700" w:type="pct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pacing w:after="150" w:before="150"/>
        <w:ind w:right="450" w:left="450"/>
        <w:jc w:val="center"/>
        <w:rPr>
          <w:sz w:val="24"/>
          <w:szCs w:val="24"/>
          <w:lang w:eastAsia="uk-UA"/>
        </w:rPr>
      </w:pPr>
      <w:r/>
      <w:bookmarkStart w:id="2" w:name="n11"/>
      <w:r/>
      <w:bookmarkEnd w:id="2"/>
      <w:r>
        <w:rPr>
          <w:bCs/>
          <w:sz w:val="28"/>
          <w:szCs w:val="28"/>
          <w:lang w:eastAsia="uk-UA"/>
        </w:rPr>
        <w:t xml:space="preserve">ПЕРЕЛІК</w:t>
      </w:r>
      <w:r>
        <w:rPr>
          <w:sz w:val="24"/>
          <w:szCs w:val="24"/>
          <w:lang w:eastAsia="uk-UA"/>
        </w:rPr>
        <w:br/>
      </w:r>
      <w:r>
        <w:rPr>
          <w:bCs/>
          <w:sz w:val="28"/>
          <w:szCs w:val="28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W w:w="5327" w:type="pct"/>
        <w:tblCellMar>
          <w:left w:w="15" w:type="dxa"/>
          <w:top w:w="15" w:type="dxa"/>
          <w:right w:w="15" w:type="dxa"/>
          <w:bottom w:w="15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12"/>
        <w:gridCol w:w="174"/>
        <w:gridCol w:w="2453"/>
        <w:gridCol w:w="1034"/>
        <w:gridCol w:w="1377"/>
        <w:gridCol w:w="738"/>
        <w:gridCol w:w="853"/>
        <w:gridCol w:w="1261"/>
        <w:gridCol w:w="1465"/>
        <w:gridCol w:w="633"/>
      </w:tblGrid>
      <w:tr>
        <w:trPr>
          <w:gridAfter w:val="1"/>
          <w:trHeight w:val="1020"/>
        </w:trPr>
        <w:tc>
          <w:tcPr>
            <w:gridSpan w:val="4"/>
            <w:tcBorders/>
            <w:tcW w:w="3973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37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159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2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46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9"/>
            <w:tcBorders/>
            <w:tcW w:w="966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trHeight w:val="553"/>
        </w:trPr>
        <w:tc>
          <w:tcPr>
            <w:gridSpan w:val="2"/>
            <w:tcBorders/>
            <w:tcW w:w="48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3487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вхідних дверей (на металеві)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37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блоки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/>
            <w:tcW w:w="159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31 220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2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46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</w:t>
            </w:r>
            <w:r>
              <w:rPr>
                <w:sz w:val="24"/>
                <w:szCs w:val="24"/>
                <w:lang w:eastAsia="uk-UA"/>
              </w:rPr>
              <w:t xml:space="preserve"> </w:t>
            </w:r>
            <w:r>
              <w:rPr>
                <w:sz w:val="24"/>
                <w:szCs w:val="24"/>
                <w:lang w:eastAsia="uk-UA"/>
              </w:rPr>
              <w:t xml:space="preserve">220</w:t>
            </w:r>
            <w:r>
              <w:rPr>
                <w:sz w:val="24"/>
                <w:szCs w:val="24"/>
                <w:lang w:val="uk-UA" w:eastAsia="uk-UA"/>
              </w:rPr>
              <w:t xml:space="preserve">,00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/>
            <w:tcW w:w="48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3487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37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159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2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1,76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46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10 784,61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/>
            <w:tcW w:w="48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3487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37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159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2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1,16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46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2 139,13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9"/>
            <w:tcBorders/>
            <w:tcW w:w="966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Стіни/перегородки/стеля опорядження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/>
            <w:tcW w:w="48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23.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3487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Відбивання пошкодженої штукатурки стін та перегородок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37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159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118,41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2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83,38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46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9 873,03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/>
            <w:tcW w:w="48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24.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3487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Штукатурення стін та перегородок, безпіщана підготовка під фарбування/шпалери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37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159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661,7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2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107,08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46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70 854,84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/>
            <w:tcW w:w="48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25.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3487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Підготовка стель під внутрішнє опорядження з попереднім розчищенням фарби, кіптяви, смогу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37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159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301,52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2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11,5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46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3 467,48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/>
            <w:tcW w:w="48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3487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опорядження стін (шпалери)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37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159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138,13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2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46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8 425,93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/>
            <w:tcW w:w="48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32.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3487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опорядження стелі (фарбування)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37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159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372,6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2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35,2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46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13 115,52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2"/>
            <w:tcBorders/>
            <w:tcW w:w="48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34.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3487" w:type="dxa"/>
            <w:textDirection w:val="lrTb"/>
            <w:noWrap w:val="false"/>
          </w:tcPr>
          <w:p>
            <w:pPr>
              <w:pBdr/>
              <w:spacing w:after="150" w:before="150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</w:t>
            </w:r>
            <w:r>
              <w:rPr>
                <w:sz w:val="24"/>
                <w:szCs w:val="24"/>
                <w:lang w:eastAsia="uk-UA"/>
              </w:rPr>
              <w:t xml:space="preserve">ження підвісних стель з влаштуванням каркаса (підвісні стелі (комплекти); панелі; підвісні профілі; підвісні каркаси; гіпсокартонні елементи з тонким ламінуванням; волокнисті гіпсові плити; волокнисті гіпсові та композитні панелі; гіпсокартонні плити тощо)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377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159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1 447,36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261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23,7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/>
            <w:tcW w:w="1465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34 302,43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  <w:trHeight w:val="601"/>
        </w:trPr>
        <w:tc>
          <w:tcPr>
            <w:gridSpan w:val="2"/>
            <w:tcBorders/>
            <w:tcW w:w="486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/>
            <w:tcW w:w="3487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Усього 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5"/>
            <w:tcBorders/>
            <w:tcW w:w="5694" w:type="dxa"/>
            <w:textDirection w:val="lrTb"/>
            <w:noWrap w:val="false"/>
          </w:tcPr>
          <w:p>
            <w:pPr>
              <w:pBdr/>
              <w:spacing w:after="150" w:before="150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184 182,97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699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gridBefore w:val="1"/>
          <w:jc w:val="center"/>
          <w:trHeight w:val="71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699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71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667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563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71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699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gridBefore w:val="1"/>
          <w:jc w:val="center"/>
          <w:trHeight w:val="71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pacing/>
        <w:ind/>
        <w:rPr/>
      </w:pPr>
      <w:r/>
      <w:r/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822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2 Char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3">
    <w:name w:val="Heading 3 Char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4">
    <w:name w:val="Heading 4 Char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5">
    <w:name w:val="Heading 5 Char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6">
    <w:name w:val="Heading 6 Char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7">
    <w:name w:val="Heading 7 Char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8">
    <w:name w:val="Heading 8 Char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Heading 9 Char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0">
    <w:name w:val="Title Char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1">
    <w:name w:val="Subtitle Char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2">
    <w:name w:val="Quote Char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3">
    <w:name w:val="Intense Quote Char"/>
    <w:basedOn w:val="728"/>
    <w:link w:val="87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4">
    <w:name w:val="Header Char"/>
    <w:basedOn w:val="728"/>
    <w:link w:val="882"/>
    <w:uiPriority w:val="99"/>
    <w:pPr>
      <w:pBdr/>
      <w:spacing/>
      <w:ind/>
    </w:pPr>
  </w:style>
  <w:style w:type="character" w:styleId="715">
    <w:name w:val="Footer Char"/>
    <w:basedOn w:val="728"/>
    <w:link w:val="884"/>
    <w:uiPriority w:val="99"/>
    <w:pPr>
      <w:pBdr/>
      <w:spacing/>
      <w:ind/>
    </w:pPr>
  </w:style>
  <w:style w:type="character" w:styleId="716">
    <w:name w:val="Footnote Text Char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717">
    <w:name w:val="Endnote Text Char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paragraph" w:styleId="718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19">
    <w:name w:val="Heading 1"/>
    <w:basedOn w:val="718"/>
    <w:next w:val="718"/>
    <w:link w:val="85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20">
    <w:name w:val="Heading 2"/>
    <w:basedOn w:val="718"/>
    <w:next w:val="718"/>
    <w:link w:val="85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21">
    <w:name w:val="Heading 3"/>
    <w:basedOn w:val="718"/>
    <w:next w:val="718"/>
    <w:link w:val="85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2">
    <w:name w:val="Heading 4"/>
    <w:basedOn w:val="718"/>
    <w:next w:val="718"/>
    <w:link w:val="86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3">
    <w:name w:val="Heading 5"/>
    <w:basedOn w:val="718"/>
    <w:next w:val="718"/>
    <w:link w:val="86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4">
    <w:name w:val="Heading 6"/>
    <w:basedOn w:val="718"/>
    <w:next w:val="718"/>
    <w:link w:val="86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5">
    <w:name w:val="Heading 7"/>
    <w:basedOn w:val="718"/>
    <w:next w:val="718"/>
    <w:link w:val="86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6">
    <w:name w:val="Heading 8"/>
    <w:basedOn w:val="718"/>
    <w:next w:val="718"/>
    <w:link w:val="86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7">
    <w:name w:val="Heading 9"/>
    <w:basedOn w:val="718"/>
    <w:next w:val="718"/>
    <w:link w:val="86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8" w:default="1">
    <w:name w:val="Default Paragraph Font"/>
    <w:uiPriority w:val="1"/>
    <w:semiHidden/>
    <w:unhideWhenUsed/>
    <w:pPr>
      <w:pBdr/>
      <w:spacing/>
      <w:ind/>
    </w:pPr>
  </w:style>
  <w:style w:type="table" w:styleId="72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0" w:default="1">
    <w:name w:val="No List"/>
    <w:uiPriority w:val="99"/>
    <w:semiHidden/>
    <w:unhideWhenUsed/>
    <w:pPr>
      <w:pBdr/>
      <w:spacing/>
      <w:ind/>
    </w:pPr>
  </w:style>
  <w:style w:type="table" w:styleId="731">
    <w:name w:val="Table Grid"/>
    <w:basedOn w:val="729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 w:customStyle="1">
    <w:name w:val="Table Grid Light"/>
    <w:basedOn w:val="72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1"/>
    <w:basedOn w:val="72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2"/>
    <w:basedOn w:val="729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1 Light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2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3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1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2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3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4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4 - Accent 5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 - Accent 6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5 Dark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6 Colorful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7 Colorful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1 Light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2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3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4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5 Dark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6 Colorful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7 Colorful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1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2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3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4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5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 6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1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2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3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4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5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 6"/>
    <w:basedOn w:val="729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7" w:customStyle="1">
    <w:name w:val="Заголовок 1 Знак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8" w:customStyle="1">
    <w:name w:val="Заголовок 2 Знак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59" w:customStyle="1">
    <w:name w:val="Заголовок 3 Знак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60" w:customStyle="1">
    <w:name w:val="Заголовок 4 Знак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61" w:customStyle="1">
    <w:name w:val="Заголовок 5 Знак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2" w:customStyle="1">
    <w:name w:val="Заголовок 6 Знак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3" w:customStyle="1">
    <w:name w:val="Заголовок 7 Знак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4" w:customStyle="1">
    <w:name w:val="Заголовок 8 Знак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5" w:customStyle="1">
    <w:name w:val="Заголовок 9 Знак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Title"/>
    <w:basedOn w:val="718"/>
    <w:next w:val="718"/>
    <w:link w:val="86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7" w:customStyle="1">
    <w:name w:val="Назва Знак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8">
    <w:name w:val="Subtitle"/>
    <w:basedOn w:val="718"/>
    <w:next w:val="718"/>
    <w:link w:val="86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9" w:customStyle="1">
    <w:name w:val="Підзаголовок Знак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0">
    <w:name w:val="Quote"/>
    <w:basedOn w:val="718"/>
    <w:next w:val="718"/>
    <w:link w:val="87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1" w:customStyle="1">
    <w:name w:val="Цитата Знак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Intense Emphasis"/>
    <w:basedOn w:val="728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3">
    <w:name w:val="Intense Quote"/>
    <w:basedOn w:val="718"/>
    <w:next w:val="718"/>
    <w:link w:val="874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4" w:customStyle="1">
    <w:name w:val="Насичена цитата Знак"/>
    <w:basedOn w:val="728"/>
    <w:link w:val="873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5">
    <w:name w:val="Intense Reference"/>
    <w:basedOn w:val="728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6">
    <w:name w:val="No Spacing"/>
    <w:basedOn w:val="718"/>
    <w:uiPriority w:val="1"/>
    <w:qFormat/>
    <w:pPr>
      <w:pBdr/>
      <w:spacing/>
      <w:ind/>
    </w:pPr>
  </w:style>
  <w:style w:type="character" w:styleId="877">
    <w:name w:val="Subtle Emphasis"/>
    <w:basedOn w:val="72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8">
    <w:name w:val="Emphasis"/>
    <w:basedOn w:val="728"/>
    <w:uiPriority w:val="20"/>
    <w:qFormat/>
    <w:pPr>
      <w:pBdr/>
      <w:spacing/>
      <w:ind/>
    </w:pPr>
    <w:rPr>
      <w:i/>
      <w:iCs/>
    </w:rPr>
  </w:style>
  <w:style w:type="character" w:styleId="879">
    <w:name w:val="Strong"/>
    <w:basedOn w:val="728"/>
    <w:uiPriority w:val="22"/>
    <w:qFormat/>
    <w:pPr>
      <w:pBdr/>
      <w:spacing/>
      <w:ind/>
    </w:pPr>
    <w:rPr>
      <w:b/>
      <w:bCs/>
    </w:rPr>
  </w:style>
  <w:style w:type="character" w:styleId="880">
    <w:name w:val="Subtle Reference"/>
    <w:basedOn w:val="72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1">
    <w:name w:val="Book Title"/>
    <w:basedOn w:val="72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2">
    <w:name w:val="Header"/>
    <w:basedOn w:val="718"/>
    <w:link w:val="883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3" w:customStyle="1">
    <w:name w:val="Верхній колонтитул Знак"/>
    <w:basedOn w:val="728"/>
    <w:link w:val="882"/>
    <w:uiPriority w:val="99"/>
    <w:pPr>
      <w:pBdr/>
      <w:spacing/>
      <w:ind/>
    </w:pPr>
  </w:style>
  <w:style w:type="paragraph" w:styleId="884">
    <w:name w:val="Footer"/>
    <w:basedOn w:val="718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5" w:customStyle="1">
    <w:name w:val="Нижній колонтитул Знак"/>
    <w:basedOn w:val="728"/>
    <w:link w:val="884"/>
    <w:uiPriority w:val="99"/>
    <w:pPr>
      <w:pBdr/>
      <w:spacing/>
      <w:ind/>
    </w:pPr>
  </w:style>
  <w:style w:type="paragraph" w:styleId="886">
    <w:name w:val="Caption"/>
    <w:basedOn w:val="718"/>
    <w:next w:val="718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7">
    <w:name w:val="footnote text"/>
    <w:basedOn w:val="718"/>
    <w:link w:val="888"/>
    <w:uiPriority w:val="99"/>
    <w:semiHidden/>
    <w:unhideWhenUsed/>
    <w:pPr>
      <w:pBdr/>
      <w:spacing/>
      <w:ind/>
    </w:pPr>
  </w:style>
  <w:style w:type="character" w:styleId="888" w:customStyle="1">
    <w:name w:val="Текст виноски Знак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foot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paragraph" w:styleId="890">
    <w:name w:val="endnote text"/>
    <w:basedOn w:val="718"/>
    <w:link w:val="891"/>
    <w:uiPriority w:val="99"/>
    <w:semiHidden/>
    <w:unhideWhenUsed/>
    <w:pPr>
      <w:pBdr/>
      <w:spacing/>
      <w:ind/>
    </w:pPr>
  </w:style>
  <w:style w:type="character" w:styleId="891" w:customStyle="1">
    <w:name w:val="Текст кінцевої виноски Знак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end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character" w:styleId="893">
    <w:name w:val="Hyperlink"/>
    <w:basedOn w:val="728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4">
    <w:name w:val="FollowedHyperlink"/>
    <w:basedOn w:val="728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5">
    <w:name w:val="toc 1"/>
    <w:basedOn w:val="718"/>
    <w:next w:val="718"/>
    <w:uiPriority w:val="39"/>
    <w:unhideWhenUsed/>
    <w:pPr>
      <w:pBdr/>
      <w:spacing w:after="100"/>
      <w:ind/>
    </w:pPr>
  </w:style>
  <w:style w:type="paragraph" w:styleId="896">
    <w:name w:val="toc 2"/>
    <w:basedOn w:val="718"/>
    <w:next w:val="718"/>
    <w:uiPriority w:val="39"/>
    <w:unhideWhenUsed/>
    <w:pPr>
      <w:pBdr/>
      <w:spacing w:after="100"/>
      <w:ind w:left="220"/>
    </w:pPr>
  </w:style>
  <w:style w:type="paragraph" w:styleId="897">
    <w:name w:val="toc 3"/>
    <w:basedOn w:val="718"/>
    <w:next w:val="718"/>
    <w:uiPriority w:val="39"/>
    <w:unhideWhenUsed/>
    <w:pPr>
      <w:pBdr/>
      <w:spacing w:after="100"/>
      <w:ind w:left="440"/>
    </w:pPr>
  </w:style>
  <w:style w:type="paragraph" w:styleId="898">
    <w:name w:val="toc 4"/>
    <w:basedOn w:val="718"/>
    <w:next w:val="718"/>
    <w:uiPriority w:val="39"/>
    <w:unhideWhenUsed/>
    <w:pPr>
      <w:pBdr/>
      <w:spacing w:after="100"/>
      <w:ind w:left="660"/>
    </w:pPr>
  </w:style>
  <w:style w:type="paragraph" w:styleId="899">
    <w:name w:val="toc 5"/>
    <w:basedOn w:val="718"/>
    <w:next w:val="718"/>
    <w:uiPriority w:val="39"/>
    <w:unhideWhenUsed/>
    <w:pPr>
      <w:pBdr/>
      <w:spacing w:after="100"/>
      <w:ind w:left="880"/>
    </w:pPr>
  </w:style>
  <w:style w:type="paragraph" w:styleId="900">
    <w:name w:val="toc 6"/>
    <w:basedOn w:val="718"/>
    <w:next w:val="718"/>
    <w:uiPriority w:val="39"/>
    <w:unhideWhenUsed/>
    <w:pPr>
      <w:pBdr/>
      <w:spacing w:after="100"/>
      <w:ind w:left="1100"/>
    </w:pPr>
  </w:style>
  <w:style w:type="paragraph" w:styleId="901">
    <w:name w:val="toc 7"/>
    <w:basedOn w:val="718"/>
    <w:next w:val="718"/>
    <w:uiPriority w:val="39"/>
    <w:unhideWhenUsed/>
    <w:pPr>
      <w:pBdr/>
      <w:spacing w:after="100"/>
      <w:ind w:left="1320"/>
    </w:pPr>
  </w:style>
  <w:style w:type="paragraph" w:styleId="902">
    <w:name w:val="toc 8"/>
    <w:basedOn w:val="718"/>
    <w:next w:val="718"/>
    <w:uiPriority w:val="39"/>
    <w:unhideWhenUsed/>
    <w:pPr>
      <w:pBdr/>
      <w:spacing w:after="100"/>
      <w:ind w:left="1540"/>
    </w:pPr>
  </w:style>
  <w:style w:type="paragraph" w:styleId="903">
    <w:name w:val="toc 9"/>
    <w:basedOn w:val="718"/>
    <w:next w:val="718"/>
    <w:uiPriority w:val="39"/>
    <w:unhideWhenUsed/>
    <w:pPr>
      <w:pBdr/>
      <w:spacing w:after="100"/>
      <w:ind w:left="1760"/>
    </w:pPr>
  </w:style>
  <w:style w:type="character" w:styleId="904">
    <w:name w:val="Placeholder Text"/>
    <w:basedOn w:val="728"/>
    <w:uiPriority w:val="99"/>
    <w:semiHidden/>
    <w:pPr>
      <w:pBdr/>
      <w:spacing/>
      <w:ind/>
    </w:pPr>
    <w:rPr>
      <w:color w:val="666666"/>
    </w:rPr>
  </w:style>
  <w:style w:type="paragraph" w:styleId="905">
    <w:name w:val="TOC Heading"/>
    <w:uiPriority w:val="39"/>
    <w:unhideWhenUsed/>
    <w:pPr>
      <w:pBdr/>
      <w:spacing/>
      <w:ind/>
    </w:pPr>
  </w:style>
  <w:style w:type="paragraph" w:styleId="906">
    <w:name w:val="table of figures"/>
    <w:basedOn w:val="718"/>
    <w:next w:val="718"/>
    <w:uiPriority w:val="99"/>
    <w:unhideWhenUsed/>
    <w:pPr>
      <w:pBdr/>
      <w:spacing/>
      <w:ind/>
    </w:pPr>
  </w:style>
  <w:style w:type="paragraph" w:styleId="907">
    <w:name w:val="List Paragraph"/>
    <w:basedOn w:val="718"/>
    <w:uiPriority w:val="34"/>
    <w:qFormat/>
    <w:pPr>
      <w:pBdr/>
      <w:spacing/>
      <w:ind w:left="720"/>
      <w:contextualSpacing w:val="true"/>
    </w:pPr>
  </w:style>
  <w:style w:type="paragraph" w:styleId="908">
    <w:name w:val="Balloon Text"/>
    <w:basedOn w:val="718"/>
    <w:link w:val="909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909" w:customStyle="1">
    <w:name w:val="Текст у виносці Знак"/>
    <w:basedOn w:val="728"/>
    <w:link w:val="908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910" w:customStyle="1">
    <w:name w:val="Обычный (веб)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Calibri" w:hAnsi="Calibri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11465-9831-4916-8E8B-0FF53C70D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35</cp:revision>
  <dcterms:created xsi:type="dcterms:W3CDTF">2025-12-08T06:10:00Z</dcterms:created>
  <dcterms:modified xsi:type="dcterms:W3CDTF">2026-02-03T12:12:09Z</dcterms:modified>
</cp:coreProperties>
</file>